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D3EB3" w14:textId="207350EA" w:rsidR="004638CF" w:rsidRDefault="00CE587C">
      <w:r w:rsidRPr="00CE587C">
        <w:t>In 2003, the United States Supreme Court found in favor of U-M’s use of race as one factor among many in considering student applicants.  In 2006, however, Michigan’s Proposal 2 prohibited the use of race or gender in the applications process. Proposal 2 was upheld by the United States Supreme Court in June 2014.</w:t>
      </w:r>
    </w:p>
    <w:sectPr w:rsidR="00463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7C"/>
    <w:rsid w:val="004638CF"/>
    <w:rsid w:val="005B7E9D"/>
    <w:rsid w:val="008A3CE0"/>
    <w:rsid w:val="00A4785F"/>
    <w:rsid w:val="00CE587C"/>
    <w:rsid w:val="00F9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D535"/>
  <w15:chartTrackingRefBased/>
  <w15:docId w15:val="{2FAAD9E3-8DC7-43DE-806B-30F26463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8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8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8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8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University of Michigan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  Allen</dc:creator>
  <cp:keywords/>
  <dc:description/>
  <cp:lastModifiedBy>Ryden  Allen</cp:lastModifiedBy>
  <cp:revision>1</cp:revision>
  <dcterms:created xsi:type="dcterms:W3CDTF">2024-08-22T21:19:00Z</dcterms:created>
  <dcterms:modified xsi:type="dcterms:W3CDTF">2024-08-22T21:19:00Z</dcterms:modified>
</cp:coreProperties>
</file>