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tbl>
      <w:tblPr>
        <w:tblStyle w:val="Table1"/>
        <w:tblW w:w="9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00"/>
        <w:tblGridChange w:id="0">
          <w:tblGrid>
            <w:gridCol w:w="9200"/>
          </w:tblGrid>
        </w:tblGridChange>
      </w:tblGrid>
      <w:tr>
        <w:trPr>
          <w:cantSplit w:val="0"/>
          <w:trHeight w:val="1156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2">
            <w:pPr>
              <w:pageBreakBefore w:val="0"/>
              <w:rPr>
                <w:rFonts w:ascii="Roboto" w:cs="Roboto" w:eastAsia="Roboto" w:hAnsi="Roboto"/>
                <w:color w:val="222222"/>
              </w:rPr>
            </w:pPr>
            <w:r w:rsidDel="00000000" w:rsidR="00000000" w:rsidRPr="00000000">
              <w:rPr>
                <w:rtl w:val="0"/>
              </w:rPr>
            </w:r>
          </w:p>
          <w:tbl>
            <w:tblPr>
              <w:tblStyle w:val="Table2"/>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3">
                  <w:pPr>
                    <w:pageBreakBefore w:val="0"/>
                    <w:rPr>
                      <w:rFonts w:ascii="Roboto" w:cs="Roboto" w:eastAsia="Roboto" w:hAnsi="Roboto"/>
                      <w:color w:val="222222"/>
                    </w:rPr>
                  </w:pPr>
                  <w:r w:rsidDel="00000000" w:rsidR="00000000" w:rsidRPr="00000000">
                    <w:rPr>
                      <w:rtl w:val="0"/>
                    </w:rPr>
                  </w:r>
                </w:p>
                <w:tbl>
                  <w:tblPr>
                    <w:tblStyle w:val="Table3"/>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4">
                        <w:pPr>
                          <w:pageBreakBefore w:val="0"/>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5943600" cy="2260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260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006">
            <w:pPr>
              <w:pageBreakBefore w:val="0"/>
              <w:rPr>
                <w:rFonts w:ascii="Roboto" w:cs="Roboto" w:eastAsia="Roboto" w:hAnsi="Roboto"/>
                <w:color w:val="222222"/>
              </w:rPr>
            </w:pPr>
            <w:r w:rsidDel="00000000" w:rsidR="00000000" w:rsidRPr="00000000">
              <w:rPr>
                <w:rtl w:val="0"/>
              </w:rPr>
            </w:r>
          </w:p>
          <w:tbl>
            <w:tblPr>
              <w:tblStyle w:val="Table4"/>
              <w:tblW w:w="8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00"/>
              <w:tblGridChange w:id="0">
                <w:tblGrid>
                  <w:gridCol w:w="8800"/>
                </w:tblGrid>
              </w:tblGridChange>
            </w:tblGrid>
            <w:tr>
              <w:trPr>
                <w:cantSplit w:val="0"/>
                <w:trHeight w:val="11565" w:hRule="atLeast"/>
                <w:tblHeader w:val="0"/>
              </w:trPr>
              <w:tc>
                <w:tcPr>
                  <w:tcBorders>
                    <w:top w:color="000000" w:space="0" w:sz="0" w:val="nil"/>
                    <w:left w:color="000000" w:space="0" w:sz="0" w:val="nil"/>
                    <w:bottom w:color="000000" w:space="0" w:sz="0" w:val="nil"/>
                    <w:right w:color="000000" w:space="0" w:sz="0" w:val="nil"/>
                  </w:tcBorders>
                  <w:shd w:fill="auto" w:val="clear"/>
                  <w:tcMar>
                    <w:top w:w="140.0" w:type="dxa"/>
                    <w:left w:w="100.0" w:type="dxa"/>
                    <w:bottom w:w="100.0" w:type="dxa"/>
                    <w:right w:w="100.0" w:type="dxa"/>
                  </w:tcMar>
                  <w:vAlign w:val="top"/>
                </w:tcPr>
                <w:p w:rsidR="00000000" w:rsidDel="00000000" w:rsidP="00000000" w:rsidRDefault="00000000" w:rsidRPr="00000000" w14:paraId="00000007">
                  <w:pPr>
                    <w:pageBreakBefore w:val="0"/>
                    <w:rPr>
                      <w:rFonts w:ascii="Roboto" w:cs="Roboto" w:eastAsia="Roboto" w:hAnsi="Roboto"/>
                      <w:color w:val="222222"/>
                    </w:rPr>
                  </w:pPr>
                  <w:r w:rsidDel="00000000" w:rsidR="00000000" w:rsidRPr="00000000">
                    <w:rPr>
                      <w:rtl w:val="0"/>
                    </w:rPr>
                  </w:r>
                </w:p>
                <w:tbl>
                  <w:tblPr>
                    <w:tblStyle w:val="Table5"/>
                    <w:tblW w:w="8217.39130434782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17.391304347826"/>
                    <w:tblGridChange w:id="0">
                      <w:tblGrid>
                        <w:gridCol w:w="8217.391304347826"/>
                      </w:tblGrid>
                    </w:tblGridChange>
                  </w:tblGrid>
                  <w:tr>
                    <w:trPr>
                      <w:cantSplit w:val="0"/>
                      <w:trHeight w:val="1143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280.0" w:type="dxa"/>
                          <w:bottom w:w="140.0" w:type="dxa"/>
                          <w:right w:w="280.0" w:type="dxa"/>
                        </w:tcMar>
                        <w:vAlign w:val="top"/>
                      </w:tcPr>
                      <w:p w:rsidR="00000000" w:rsidDel="00000000" w:rsidP="00000000" w:rsidRDefault="00000000" w:rsidRPr="00000000" w14:paraId="00000008">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360" w:lineRule="auto"/>
                          <w:jc w:val="left"/>
                          <w:rPr>
                            <w:rFonts w:ascii="Playfair Display" w:cs="Playfair Display" w:eastAsia="Playfair Display" w:hAnsi="Playfair Display"/>
                            <w:b w:val="1"/>
                            <w:color w:val="222222"/>
                            <w:sz w:val="51"/>
                            <w:szCs w:val="51"/>
                          </w:rPr>
                        </w:pPr>
                        <w:bookmarkStart w:colFirst="0" w:colLast="0" w:name="_wf3vy5qhs7sz" w:id="0"/>
                        <w:bookmarkEnd w:id="0"/>
                        <w:r w:rsidDel="00000000" w:rsidR="00000000" w:rsidRPr="00000000">
                          <w:rPr>
                            <w:rFonts w:ascii="Playfair Display" w:cs="Playfair Display" w:eastAsia="Playfair Display" w:hAnsi="Playfair Display"/>
                            <w:b w:val="1"/>
                            <w:color w:val="222222"/>
                            <w:sz w:val="51"/>
                            <w:szCs w:val="51"/>
                            <w:rtl w:val="0"/>
                          </w:rPr>
                          <w:t xml:space="preserve">Roots, Routes, and Performative Mobilities: The Next 50 Years of Knowledge Production for Africa and its Diasporas</w:t>
                        </w:r>
                      </w:p>
                      <w:p w:rsidR="00000000" w:rsidDel="00000000" w:rsidP="00000000" w:rsidRDefault="00000000" w:rsidRPr="00000000" w14:paraId="00000009">
                        <w:pPr>
                          <w:pageBreakBefore w:val="0"/>
                          <w:spacing w:line="360" w:lineRule="auto"/>
                          <w:jc w:val="center"/>
                          <w:rPr>
                            <w:rFonts w:ascii="Roboto" w:cs="Roboto" w:eastAsia="Roboto" w:hAnsi="Roboto"/>
                            <w:color w:val="757575"/>
                            <w:sz w:val="24"/>
                            <w:szCs w:val="24"/>
                          </w:rPr>
                        </w:pPr>
                        <w:r w:rsidDel="00000000" w:rsidR="00000000" w:rsidRPr="00000000">
                          <w:rPr>
                            <w:rFonts w:ascii="Roboto" w:cs="Roboto" w:eastAsia="Roboto" w:hAnsi="Roboto"/>
                            <w:color w:val="757575"/>
                            <w:sz w:val="24"/>
                            <w:szCs w:val="24"/>
                            <w:rtl w:val="0"/>
                          </w:rPr>
                          <w:t xml:space="preserve">This lecture explores the movements of people and ideas over centuries between and among various geographies of Africa and its diasporas and the impact of such mobilities on shaping politics and identities for people of African descent. Centering the analysis on the country of Liberia and its connections to the United States over several centuries, the lecture presents the concept of “performative mobilities” to frame the larger consequences of movement. Moreover, the lecture argues for the central role that a focus on mobilities will play in the next 50 years of knowledge production in African and African Diaspora Studies more generally.</w:t>
                        </w:r>
                      </w:p>
                      <w:p w:rsidR="00000000" w:rsidDel="00000000" w:rsidP="00000000" w:rsidRDefault="00000000" w:rsidRPr="00000000" w14:paraId="0000000A">
                        <w:pPr>
                          <w:pageBreakBefore w:val="0"/>
                          <w:spacing w:line="360" w:lineRule="auto"/>
                          <w:rPr>
                            <w:rFonts w:ascii="Roboto" w:cs="Roboto" w:eastAsia="Roboto" w:hAnsi="Roboto"/>
                            <w:color w:val="757575"/>
                            <w:sz w:val="24"/>
                            <w:szCs w:val="24"/>
                          </w:rPr>
                        </w:pPr>
                        <w:r w:rsidDel="00000000" w:rsidR="00000000" w:rsidRPr="00000000">
                          <w:rPr>
                            <w:rFonts w:ascii="Roboto" w:cs="Roboto" w:eastAsia="Roboto" w:hAnsi="Roboto"/>
                            <w:color w:val="757575"/>
                            <w:sz w:val="24"/>
                            <w:szCs w:val="24"/>
                            <w:rtl w:val="0"/>
                          </w:rPr>
                          <w:t xml:space="preserve"> </w:t>
                        </w:r>
                      </w:p>
                      <w:p w:rsidR="00000000" w:rsidDel="00000000" w:rsidP="00000000" w:rsidRDefault="00000000" w:rsidRPr="00000000" w14:paraId="0000000B">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360" w:lineRule="auto"/>
                          <w:jc w:val="center"/>
                          <w:rPr>
                            <w:rFonts w:ascii="Roboto" w:cs="Roboto" w:eastAsia="Roboto" w:hAnsi="Roboto"/>
                            <w:b w:val="1"/>
                            <w:color w:val="444444"/>
                            <w:sz w:val="33"/>
                            <w:szCs w:val="33"/>
                          </w:rPr>
                        </w:pPr>
                        <w:bookmarkStart w:colFirst="0" w:colLast="0" w:name="_edswrwnct2q" w:id="1"/>
                        <w:bookmarkEnd w:id="1"/>
                        <w:r w:rsidDel="00000000" w:rsidR="00000000" w:rsidRPr="00000000">
                          <w:rPr>
                            <w:rFonts w:ascii="Roboto" w:cs="Roboto" w:eastAsia="Roboto" w:hAnsi="Roboto"/>
                            <w:b w:val="1"/>
                            <w:color w:val="444444"/>
                            <w:sz w:val="33"/>
                            <w:szCs w:val="33"/>
                            <w:rtl w:val="0"/>
                          </w:rPr>
                          <w:t xml:space="preserve">February 4, 2021 at 4 p.m. </w:t>
                        </w:r>
                      </w:p>
                      <w:p w:rsidR="00000000" w:rsidDel="00000000" w:rsidP="00000000" w:rsidRDefault="00000000" w:rsidRPr="00000000" w14:paraId="0000000C">
                        <w:pPr>
                          <w:pageBreakBefore w:val="0"/>
                          <w:spacing w:line="360" w:lineRule="auto"/>
                          <w:jc w:val="center"/>
                          <w:rPr>
                            <w:rFonts w:ascii="Roboto" w:cs="Roboto" w:eastAsia="Roboto" w:hAnsi="Roboto"/>
                            <w:color w:val="757575"/>
                            <w:sz w:val="24"/>
                            <w:szCs w:val="24"/>
                          </w:rPr>
                        </w:pPr>
                        <w:r w:rsidDel="00000000" w:rsidR="00000000" w:rsidRPr="00000000">
                          <w:rPr>
                            <w:rFonts w:ascii="Roboto" w:cs="Roboto" w:eastAsia="Roboto" w:hAnsi="Roboto"/>
                            <w:color w:val="757575"/>
                            <w:sz w:val="24"/>
                            <w:szCs w:val="24"/>
                            <w:rtl w:val="0"/>
                          </w:rPr>
                          <w:t xml:space="preserve">Featuring</w:t>
                        </w:r>
                      </w:p>
                      <w:p w:rsidR="00000000" w:rsidDel="00000000" w:rsidP="00000000" w:rsidRDefault="00000000" w:rsidRPr="00000000" w14:paraId="0000000D">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pacing w:after="0" w:before="0" w:line="360" w:lineRule="auto"/>
                          <w:jc w:val="center"/>
                          <w:rPr>
                            <w:rFonts w:ascii="Roboto" w:cs="Roboto" w:eastAsia="Roboto" w:hAnsi="Roboto"/>
                            <w:b w:val="1"/>
                            <w:color w:val="444444"/>
                            <w:sz w:val="33"/>
                            <w:szCs w:val="33"/>
                          </w:rPr>
                        </w:pPr>
                        <w:bookmarkStart w:colFirst="0" w:colLast="0" w:name="_wk4hn94yewql" w:id="2"/>
                        <w:bookmarkEnd w:id="2"/>
                        <w:hyperlink r:id="rId7">
                          <w:r w:rsidDel="00000000" w:rsidR="00000000" w:rsidRPr="00000000">
                            <w:rPr>
                              <w:rFonts w:ascii="Roboto" w:cs="Roboto" w:eastAsia="Roboto" w:hAnsi="Roboto"/>
                              <w:color w:val="007c89"/>
                              <w:sz w:val="33"/>
                              <w:szCs w:val="33"/>
                              <w:u w:val="single"/>
                              <w:rtl w:val="0"/>
                            </w:rPr>
                            <w:t xml:space="preserve">Yolanda Covington-Ward</w:t>
                          </w:r>
                        </w:hyperlink>
                        <w:r w:rsidDel="00000000" w:rsidR="00000000" w:rsidRPr="00000000">
                          <w:rPr>
                            <w:rFonts w:ascii="Roboto" w:cs="Roboto" w:eastAsia="Roboto" w:hAnsi="Roboto"/>
                            <w:b w:val="1"/>
                            <w:color w:val="444444"/>
                            <w:sz w:val="33"/>
                            <w:szCs w:val="33"/>
                            <w:rtl w:val="0"/>
                          </w:rPr>
                          <w:t xml:space="preserve">,</w:t>
                        </w:r>
                      </w:p>
                      <w:p w:rsidR="00000000" w:rsidDel="00000000" w:rsidP="00000000" w:rsidRDefault="00000000" w:rsidRPr="00000000" w14:paraId="0000000E">
                        <w:pPr>
                          <w:pageBreakBefore w:val="0"/>
                          <w:spacing w:line="360" w:lineRule="auto"/>
                          <w:jc w:val="center"/>
                          <w:rPr>
                            <w:rFonts w:ascii="Roboto" w:cs="Roboto" w:eastAsia="Roboto" w:hAnsi="Roboto"/>
                            <w:i w:val="1"/>
                            <w:color w:val="757575"/>
                            <w:sz w:val="24"/>
                            <w:szCs w:val="24"/>
                          </w:rPr>
                        </w:pPr>
                        <w:r w:rsidDel="00000000" w:rsidR="00000000" w:rsidRPr="00000000">
                          <w:rPr>
                            <w:rFonts w:ascii="Roboto" w:cs="Roboto" w:eastAsia="Roboto" w:hAnsi="Roboto"/>
                            <w:i w:val="1"/>
                            <w:color w:val="757575"/>
                            <w:sz w:val="24"/>
                            <w:szCs w:val="24"/>
                            <w:rtl w:val="0"/>
                          </w:rPr>
                          <w:t xml:space="preserve">Department Chair, Associate Professor,  Department of Africana Studies</w:t>
                        </w:r>
                      </w:p>
                      <w:p w:rsidR="00000000" w:rsidDel="00000000" w:rsidP="00000000" w:rsidRDefault="00000000" w:rsidRPr="00000000" w14:paraId="0000000F">
                        <w:pPr>
                          <w:pageBreakBefore w:val="0"/>
                          <w:spacing w:line="360" w:lineRule="auto"/>
                          <w:jc w:val="center"/>
                          <w:rPr>
                            <w:rFonts w:ascii="Roboto" w:cs="Roboto" w:eastAsia="Roboto" w:hAnsi="Roboto"/>
                            <w:i w:val="1"/>
                            <w:color w:val="757575"/>
                            <w:sz w:val="24"/>
                            <w:szCs w:val="24"/>
                          </w:rPr>
                        </w:pPr>
                        <w:r w:rsidDel="00000000" w:rsidR="00000000" w:rsidRPr="00000000">
                          <w:rPr>
                            <w:rFonts w:ascii="Roboto" w:cs="Roboto" w:eastAsia="Roboto" w:hAnsi="Roboto"/>
                            <w:i w:val="1"/>
                            <w:color w:val="757575"/>
                            <w:sz w:val="24"/>
                            <w:szCs w:val="24"/>
                            <w:rtl w:val="0"/>
                          </w:rPr>
                          <w:t xml:space="preserve">Secondary Appointment, Department of Anthropology, President, Association for Africanist Anthropology (AfAA)</w:t>
                        </w:r>
                      </w:p>
                      <w:p w:rsidR="00000000" w:rsidDel="00000000" w:rsidP="00000000" w:rsidRDefault="00000000" w:rsidRPr="00000000" w14:paraId="00000010">
                        <w:pPr>
                          <w:pageBreakBefore w:val="0"/>
                          <w:spacing w:line="360" w:lineRule="auto"/>
                          <w:jc w:val="center"/>
                          <w:rPr>
                            <w:rFonts w:ascii="Roboto" w:cs="Roboto" w:eastAsia="Roboto" w:hAnsi="Roboto"/>
                            <w:i w:val="1"/>
                            <w:color w:val="757575"/>
                            <w:sz w:val="24"/>
                            <w:szCs w:val="24"/>
                          </w:rPr>
                        </w:pPr>
                        <w:r w:rsidDel="00000000" w:rsidR="00000000" w:rsidRPr="00000000">
                          <w:rPr>
                            <w:rFonts w:ascii="Roboto" w:cs="Roboto" w:eastAsia="Roboto" w:hAnsi="Roboto"/>
                            <w:i w:val="1"/>
                            <w:color w:val="757575"/>
                            <w:sz w:val="24"/>
                            <w:szCs w:val="24"/>
                            <w:rtl w:val="0"/>
                          </w:rPr>
                          <w:t xml:space="preserve">Executive Board Member, Association for the Study of the Worldwide African Diaspora (ASWAD), University of Pittsburgh</w:t>
                        </w:r>
                      </w:p>
                      <w:p w:rsidR="00000000" w:rsidDel="00000000" w:rsidP="00000000" w:rsidRDefault="00000000" w:rsidRPr="00000000" w14:paraId="00000011">
                        <w:pPr>
                          <w:pageBreakBefore w:val="0"/>
                          <w:spacing w:line="360" w:lineRule="auto"/>
                          <w:jc w:val="center"/>
                          <w:rPr>
                            <w:rFonts w:ascii="Roboto" w:cs="Roboto" w:eastAsia="Roboto" w:hAnsi="Roboto"/>
                            <w:color w:val="757575"/>
                            <w:sz w:val="24"/>
                            <w:szCs w:val="24"/>
                          </w:rPr>
                        </w:pPr>
                        <w:r w:rsidDel="00000000" w:rsidR="00000000" w:rsidRPr="00000000">
                          <w:rPr>
                            <w:rFonts w:ascii="Roboto" w:cs="Roboto" w:eastAsia="Roboto" w:hAnsi="Roboto"/>
                            <w:color w:val="757575"/>
                            <w:sz w:val="24"/>
                            <w:szCs w:val="24"/>
                            <w:rtl w:val="0"/>
                          </w:rPr>
                          <w:t xml:space="preserve">Yolanda Covington-Ward received her Masters and Ph.D. from the University of Michigan.</w:t>
                        </w:r>
                      </w:p>
                    </w:tc>
                  </w:tr>
                </w:tbl>
                <w:p w:rsidR="00000000" w:rsidDel="00000000" w:rsidP="00000000" w:rsidRDefault="00000000" w:rsidRPr="00000000" w14:paraId="00000012">
                  <w:pPr>
                    <w:pageBreakBefore w:val="0"/>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013">
            <w:pPr>
              <w:pageBreakBefore w:val="0"/>
              <w:jc w:val="center"/>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014">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https//pitt.academia.edu/YolandaCovingtonWa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